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AF2" w:rsidRPr="00E20915" w:rsidRDefault="00C92AF2" w:rsidP="00C92AF2">
      <w:pPr>
        <w:spacing w:after="120"/>
        <w:ind w:left="1"/>
        <w:jc w:val="right"/>
        <w:rPr>
          <w:b/>
          <w:bCs/>
          <w:iCs/>
          <w:lang w:val="hy-AM"/>
        </w:rPr>
      </w:pPr>
      <w:bookmarkStart w:id="0" w:name="_GoBack"/>
      <w:bookmarkEnd w:id="0"/>
    </w:p>
    <w:p w:rsidR="00C92AF2" w:rsidRPr="00E20915" w:rsidRDefault="00C92AF2" w:rsidP="00C92AF2">
      <w:pPr>
        <w:spacing w:after="120"/>
        <w:ind w:left="1"/>
        <w:jc w:val="center"/>
        <w:rPr>
          <w:rFonts w:cs="Sylfaen"/>
          <w:b/>
          <w:bCs/>
          <w:iCs/>
          <w:lang w:val="hy-AM"/>
        </w:rPr>
      </w:pPr>
      <w:r w:rsidRPr="00E20915">
        <w:rPr>
          <w:b/>
          <w:bCs/>
          <w:iCs/>
          <w:lang w:val="hy-AM"/>
        </w:rPr>
        <w:t>«Մարդու իրավունքների պաշտպանություն և ք</w:t>
      </w:r>
      <w:r w:rsidRPr="00E20915">
        <w:rPr>
          <w:rFonts w:cs="Sylfaen"/>
          <w:b/>
          <w:bCs/>
          <w:iCs/>
          <w:lang w:val="hy-AM"/>
        </w:rPr>
        <w:t>աղաքացիական</w:t>
      </w:r>
      <w:r w:rsidRPr="00E20915">
        <w:rPr>
          <w:b/>
          <w:bCs/>
          <w:iCs/>
          <w:lang w:val="hy-AM"/>
        </w:rPr>
        <w:t xml:space="preserve"> </w:t>
      </w:r>
      <w:r w:rsidRPr="00E20915">
        <w:rPr>
          <w:rFonts w:cs="Sylfaen"/>
          <w:b/>
          <w:bCs/>
          <w:iCs/>
          <w:lang w:val="hy-AM"/>
        </w:rPr>
        <w:t>հասարակության</w:t>
      </w:r>
      <w:r w:rsidRPr="00E20915">
        <w:rPr>
          <w:b/>
          <w:bCs/>
          <w:iCs/>
          <w:lang w:val="hy-AM"/>
        </w:rPr>
        <w:t xml:space="preserve"> </w:t>
      </w:r>
      <w:r w:rsidRPr="00E20915">
        <w:rPr>
          <w:rFonts w:cs="Sylfaen"/>
          <w:b/>
          <w:bCs/>
          <w:iCs/>
          <w:lang w:val="hy-AM"/>
        </w:rPr>
        <w:t>հզորացում ՀՀ մարզերում</w:t>
      </w:r>
      <w:r w:rsidRPr="00E20915">
        <w:rPr>
          <w:rFonts w:cs="Times Armenian"/>
          <w:b/>
          <w:bCs/>
          <w:iCs/>
          <w:lang w:val="hy-AM"/>
        </w:rPr>
        <w:t>»</w:t>
      </w:r>
      <w:r w:rsidRPr="00E20915">
        <w:rPr>
          <w:rFonts w:cs="Sylfaen"/>
          <w:b/>
          <w:bCs/>
          <w:iCs/>
          <w:lang w:val="hy-AM"/>
        </w:rPr>
        <w:t xml:space="preserve"> 2022-2024 թթ</w:t>
      </w:r>
      <w:r w:rsidRPr="00E20915">
        <w:rPr>
          <w:rFonts w:hAnsi="Times New Roman"/>
          <w:b/>
          <w:bCs/>
          <w:iCs/>
          <w:lang w:val="hy-AM"/>
        </w:rPr>
        <w:t>․</w:t>
      </w:r>
      <w:r w:rsidRPr="00E20915">
        <w:rPr>
          <w:rFonts w:cs="Times Armenian"/>
          <w:b/>
          <w:bCs/>
          <w:iCs/>
          <w:lang w:val="hy-AM"/>
        </w:rPr>
        <w:t xml:space="preserve"> </w:t>
      </w:r>
      <w:r w:rsidRPr="00E20915">
        <w:rPr>
          <w:rFonts w:cs="Sylfaen"/>
          <w:b/>
          <w:bCs/>
          <w:iCs/>
          <w:lang w:val="hy-AM"/>
        </w:rPr>
        <w:t>ծրագրի շրջանակներում տրամադրվող ենթադրամաշնորհների համար առաջարկվող</w:t>
      </w:r>
      <w:r w:rsidRPr="00E20915">
        <w:rPr>
          <w:b/>
          <w:bCs/>
          <w:iCs/>
          <w:lang w:val="hy-AM"/>
        </w:rPr>
        <w:t xml:space="preserve"> գերակա </w:t>
      </w:r>
      <w:r w:rsidRPr="00E20915">
        <w:rPr>
          <w:rFonts w:cs="Sylfaen"/>
          <w:b/>
          <w:bCs/>
          <w:iCs/>
          <w:lang w:val="hy-AM"/>
        </w:rPr>
        <w:t>թեմաները</w:t>
      </w:r>
    </w:p>
    <w:p w:rsidR="00C92AF2" w:rsidRPr="00E20915" w:rsidRDefault="00C92AF2" w:rsidP="00C92AF2">
      <w:pPr>
        <w:spacing w:after="120"/>
        <w:ind w:left="1"/>
        <w:jc w:val="center"/>
        <w:rPr>
          <w:b/>
          <w:bCs/>
          <w:iCs/>
          <w:lang w:val="hy-AM"/>
        </w:rPr>
      </w:pPr>
    </w:p>
    <w:p w:rsidR="00C92AF2" w:rsidRPr="00E20915" w:rsidRDefault="00C92AF2" w:rsidP="00C92AF2">
      <w:pPr>
        <w:spacing w:after="120"/>
        <w:ind w:firstLine="567"/>
        <w:rPr>
          <w:bCs/>
          <w:color w:val="000000"/>
          <w:lang w:val="hy-AM" w:eastAsia="ru-RU"/>
        </w:rPr>
      </w:pPr>
      <w:r w:rsidRPr="00E20915">
        <w:rPr>
          <w:bCs/>
          <w:color w:val="000000"/>
          <w:lang w:val="hy-AM" w:eastAsia="ru-RU"/>
        </w:rPr>
        <w:t>Ընդհանուր առմամբ տրամադրվելու են մշտադիտարկման և սկսնակ ՀԿ-ների հզորացման և հետազոտական-վերլուծական ենթադրամաշնորհներ հետևյալ ուղղություններով</w:t>
      </w:r>
      <w:r w:rsidRPr="00E20915">
        <w:rPr>
          <w:rFonts w:hAnsi="Times New Roman"/>
          <w:bCs/>
          <w:color w:val="000000"/>
          <w:lang w:val="hy-AM" w:eastAsia="ru-RU"/>
        </w:rPr>
        <w:t>․</w:t>
      </w:r>
    </w:p>
    <w:p w:rsidR="00C92AF2" w:rsidRPr="00E20915" w:rsidRDefault="00C92AF2" w:rsidP="00C92AF2">
      <w:pPr>
        <w:numPr>
          <w:ilvl w:val="0"/>
          <w:numId w:val="1"/>
        </w:numPr>
        <w:tabs>
          <w:tab w:val="clear" w:pos="720"/>
        </w:tabs>
        <w:spacing w:after="120"/>
        <w:ind w:left="426"/>
        <w:rPr>
          <w:b/>
          <w:color w:val="000000"/>
          <w:lang w:val="hy-AM" w:eastAsia="ru-RU"/>
        </w:rPr>
      </w:pPr>
      <w:r w:rsidRPr="00E20915">
        <w:rPr>
          <w:b/>
          <w:color w:val="000000"/>
          <w:lang w:val="hy-AM" w:eastAsia="ru-RU"/>
        </w:rPr>
        <w:t>հանրային վերահսկողության՝ մշտադիտարկման և հանրային մասնակցության ծրագիր-Հայտեր,*</w:t>
      </w:r>
    </w:p>
    <w:p w:rsidR="00C92AF2" w:rsidRPr="00E20915" w:rsidRDefault="00C92AF2" w:rsidP="00C92AF2">
      <w:pPr>
        <w:numPr>
          <w:ilvl w:val="0"/>
          <w:numId w:val="1"/>
        </w:numPr>
        <w:tabs>
          <w:tab w:val="clear" w:pos="720"/>
        </w:tabs>
        <w:spacing w:after="120"/>
        <w:ind w:left="426"/>
        <w:rPr>
          <w:b/>
          <w:color w:val="000000"/>
          <w:lang w:val="hy-AM" w:eastAsia="ru-RU"/>
        </w:rPr>
      </w:pPr>
      <w:r w:rsidRPr="00E20915">
        <w:rPr>
          <w:b/>
          <w:color w:val="000000"/>
          <w:lang w:val="hy-AM" w:eastAsia="ru-RU"/>
        </w:rPr>
        <w:t>սկսնակ ՔՀԿ-ների կարողությունների հզորացում, կենսունակ կազմակերպությունների ստեղծում, ՔՀԿ-ների ինստիտուցիոնալացում,**</w:t>
      </w:r>
    </w:p>
    <w:p w:rsidR="00C92AF2" w:rsidRPr="00E20915" w:rsidRDefault="00C92AF2" w:rsidP="00C92AF2">
      <w:pPr>
        <w:numPr>
          <w:ilvl w:val="0"/>
          <w:numId w:val="1"/>
        </w:numPr>
        <w:tabs>
          <w:tab w:val="clear" w:pos="720"/>
        </w:tabs>
        <w:spacing w:after="120"/>
        <w:ind w:left="426"/>
        <w:rPr>
          <w:color w:val="000000"/>
          <w:lang w:val="hy-AM" w:eastAsia="ru-RU"/>
        </w:rPr>
      </w:pPr>
      <w:r w:rsidRPr="00E20915">
        <w:rPr>
          <w:color w:val="000000"/>
          <w:lang w:val="hy-AM" w:eastAsia="ru-RU"/>
        </w:rPr>
        <w:t>ջատագովության, հանրային քարոզչության և շահերի պաշտպանության նախագծեր. որոշումներ կայացնողների, տարբեր ոլորտներում հայեցակարգերի, ծրագրերի, ռազմավարությունների, ընթացակարգերի, օրակարգերի ձևավորման վրա ազդելու հնարավորությունների օգտագործում,</w:t>
      </w:r>
    </w:p>
    <w:p w:rsidR="00C92AF2" w:rsidRPr="00E20915" w:rsidRDefault="00C92AF2" w:rsidP="00C92AF2">
      <w:pPr>
        <w:numPr>
          <w:ilvl w:val="0"/>
          <w:numId w:val="1"/>
        </w:numPr>
        <w:tabs>
          <w:tab w:val="clear" w:pos="720"/>
        </w:tabs>
        <w:spacing w:after="120"/>
        <w:ind w:left="426"/>
        <w:rPr>
          <w:color w:val="000000"/>
          <w:lang w:val="hy-AM" w:eastAsia="ru-RU"/>
        </w:rPr>
      </w:pPr>
      <w:r w:rsidRPr="00E20915">
        <w:rPr>
          <w:color w:val="000000"/>
          <w:lang w:val="hy-AM" w:eastAsia="ru-RU"/>
        </w:rPr>
        <w:t>նոր դասընթացների և/կամ մեթոդների մշակում և ներմուծում, ներառյալ հեռավար ուսուցում, ուսումնական մոդուլների, ձեռնարկների, մշտադիտարկման զեկույցների մշակումն ու հրատարակում, սոցիալական գովազդների և ուսումնական տեսանյութերի պատրաստում ու հեռարձակում, էլեկտրոնային տեղեկատուների ստեղծում,</w:t>
      </w:r>
    </w:p>
    <w:p w:rsidR="00C92AF2" w:rsidRPr="00E20915" w:rsidRDefault="00C92AF2" w:rsidP="00C92AF2">
      <w:pPr>
        <w:numPr>
          <w:ilvl w:val="0"/>
          <w:numId w:val="1"/>
        </w:numPr>
        <w:tabs>
          <w:tab w:val="clear" w:pos="720"/>
        </w:tabs>
        <w:spacing w:after="120"/>
        <w:ind w:left="426"/>
        <w:rPr>
          <w:color w:val="000000"/>
          <w:lang w:val="hy-AM" w:eastAsia="ru-RU"/>
        </w:rPr>
      </w:pPr>
      <w:r w:rsidRPr="00E20915">
        <w:rPr>
          <w:color w:val="000000"/>
          <w:lang w:val="hy-AM" w:eastAsia="ru-RU"/>
        </w:rPr>
        <w:t>համաժողովների, համայնքի զարգացման բաց տարածք-ֆորումների, սոցիալական նորարարության ճամբարների, փառատոնների, միջոցների հայթայթման տոնավաճառների կազմակերպում և իրականացում,</w:t>
      </w:r>
    </w:p>
    <w:p w:rsidR="00C92AF2" w:rsidRPr="00E20915" w:rsidRDefault="00C92AF2" w:rsidP="00C92AF2">
      <w:pPr>
        <w:numPr>
          <w:ilvl w:val="0"/>
          <w:numId w:val="1"/>
        </w:numPr>
        <w:tabs>
          <w:tab w:val="clear" w:pos="720"/>
        </w:tabs>
        <w:spacing w:after="120"/>
        <w:ind w:left="426"/>
        <w:rPr>
          <w:color w:val="000000"/>
          <w:lang w:val="hy-AM" w:eastAsia="ru-RU"/>
        </w:rPr>
      </w:pPr>
      <w:r w:rsidRPr="00E20915">
        <w:rPr>
          <w:color w:val="000000"/>
          <w:lang w:val="hy-AM" w:eastAsia="ru-RU"/>
        </w:rPr>
        <w:t>գրավիչ և անվտանգ տ</w:t>
      </w:r>
      <w:proofErr w:type="spellStart"/>
      <w:r w:rsidRPr="00E20915">
        <w:rPr>
          <w:color w:val="000000"/>
          <w:lang w:eastAsia="ru-RU"/>
        </w:rPr>
        <w:t>արածակազմակերպ</w:t>
      </w:r>
      <w:proofErr w:type="spellEnd"/>
      <w:r w:rsidRPr="00E20915">
        <w:rPr>
          <w:color w:val="000000"/>
          <w:lang w:val="hy-AM" w:eastAsia="ru-RU"/>
        </w:rPr>
        <w:t>ում,</w:t>
      </w:r>
    </w:p>
    <w:p w:rsidR="00C92AF2" w:rsidRPr="00E20915" w:rsidRDefault="00C92AF2" w:rsidP="00C92AF2">
      <w:pPr>
        <w:numPr>
          <w:ilvl w:val="0"/>
          <w:numId w:val="1"/>
        </w:numPr>
        <w:tabs>
          <w:tab w:val="clear" w:pos="720"/>
        </w:tabs>
        <w:spacing w:after="120"/>
        <w:ind w:left="426"/>
        <w:rPr>
          <w:color w:val="000000"/>
          <w:lang w:val="hy-AM" w:eastAsia="ru-RU"/>
        </w:rPr>
      </w:pPr>
      <w:r w:rsidRPr="00E20915">
        <w:rPr>
          <w:color w:val="000000"/>
          <w:lang w:val="hy-AM" w:eastAsia="ru-RU"/>
        </w:rPr>
        <w:t>իրավական, հասարակական-քաղաքական, սոցիալ-տնտեսական, ժողովրդագրական, տնտեսագիտական, սոցիոլոգիական, մշակութաբանական, կրթամշակութային, բնապահպանական հետազոտություններ, վերլուծություններ,</w:t>
      </w:r>
      <w:r w:rsidRPr="00E20915">
        <w:rPr>
          <w:bCs/>
          <w:iCs/>
          <w:color w:val="000000"/>
          <w:lang w:val="hy-AM" w:eastAsia="ru-RU"/>
        </w:rPr>
        <w:t>***</w:t>
      </w:r>
    </w:p>
    <w:p w:rsidR="00C92AF2" w:rsidRPr="00E20915" w:rsidRDefault="00C92AF2" w:rsidP="00C92AF2">
      <w:pPr>
        <w:numPr>
          <w:ilvl w:val="0"/>
          <w:numId w:val="1"/>
        </w:numPr>
        <w:tabs>
          <w:tab w:val="clear" w:pos="720"/>
        </w:tabs>
        <w:spacing w:after="120"/>
        <w:ind w:left="426"/>
        <w:rPr>
          <w:color w:val="000000"/>
          <w:lang w:val="hy-AM" w:eastAsia="ru-RU"/>
        </w:rPr>
      </w:pPr>
      <w:r w:rsidRPr="00E20915">
        <w:rPr>
          <w:color w:val="000000"/>
          <w:lang w:val="hy-AM" w:eastAsia="ru-RU"/>
        </w:rPr>
        <w:t>հեռուստառադիոհաղորդումների, լրագրային հետաքննությունների, հոդվածների, ակնարկների շարքեր՝ նվիրված սոցիալապես անապահով խմբերի, հաշմանդամություն ունեցող անձանց, տարեցների, կանանց, երեխաների, փախստականների, տեղահանվածների, փոքրամասնությունների իրավունքներին։</w:t>
      </w:r>
    </w:p>
    <w:p w:rsidR="00C92AF2" w:rsidRPr="00E20915" w:rsidRDefault="00C92AF2" w:rsidP="00C92AF2">
      <w:pPr>
        <w:spacing w:after="120"/>
        <w:jc w:val="center"/>
        <w:rPr>
          <w:b/>
          <w:bCs/>
          <w:color w:val="000000"/>
          <w:lang w:val="hy-AM" w:eastAsia="ru-RU"/>
        </w:rPr>
      </w:pPr>
    </w:p>
    <w:p w:rsidR="00C92AF2" w:rsidRPr="00E20915" w:rsidRDefault="00C92AF2" w:rsidP="00C92AF2">
      <w:pPr>
        <w:spacing w:after="120"/>
        <w:jc w:val="center"/>
        <w:rPr>
          <w:b/>
          <w:bCs/>
          <w:color w:val="000000"/>
          <w:lang w:val="hy-AM" w:eastAsia="ru-RU"/>
        </w:rPr>
      </w:pPr>
      <w:r w:rsidRPr="00E20915">
        <w:rPr>
          <w:b/>
          <w:bCs/>
          <w:color w:val="000000"/>
          <w:lang w:val="hy-AM" w:eastAsia="ru-RU"/>
        </w:rPr>
        <w:t>Մեկնաբանություն</w:t>
      </w:r>
    </w:p>
    <w:p w:rsidR="00C92AF2" w:rsidRPr="00E20915" w:rsidRDefault="00C92AF2" w:rsidP="00C92AF2">
      <w:pPr>
        <w:spacing w:after="120"/>
        <w:ind w:firstLine="567"/>
        <w:rPr>
          <w:b/>
          <w:bCs/>
          <w:color w:val="000000"/>
          <w:lang w:val="hy-AM" w:eastAsia="ru-RU"/>
        </w:rPr>
      </w:pPr>
      <w:r w:rsidRPr="00E20915">
        <w:rPr>
          <w:b/>
          <w:bCs/>
          <w:iCs/>
          <w:color w:val="000000"/>
          <w:lang w:val="hy-AM" w:eastAsia="ru-RU"/>
        </w:rPr>
        <w:t>*Մշտադիտարկման ենթադրամաշնորհները ենթադրում են</w:t>
      </w:r>
      <w:r w:rsidRPr="00E20915">
        <w:rPr>
          <w:rFonts w:hAnsi="Times New Roman"/>
          <w:b/>
          <w:bCs/>
          <w:color w:val="000000"/>
          <w:lang w:val="hy-AM" w:eastAsia="ru-RU"/>
        </w:rPr>
        <w:t>․</w:t>
      </w:r>
    </w:p>
    <w:p w:rsidR="00C92AF2" w:rsidRPr="00E20915" w:rsidRDefault="00C92AF2" w:rsidP="00C92AF2">
      <w:pPr>
        <w:numPr>
          <w:ilvl w:val="0"/>
          <w:numId w:val="2"/>
        </w:numPr>
        <w:tabs>
          <w:tab w:val="clear" w:pos="720"/>
        </w:tabs>
        <w:spacing w:after="120"/>
        <w:ind w:left="426"/>
        <w:rPr>
          <w:color w:val="000000"/>
          <w:lang w:val="hy-AM" w:eastAsia="ru-RU"/>
        </w:rPr>
      </w:pPr>
      <w:r w:rsidRPr="00E20915">
        <w:rPr>
          <w:color w:val="000000"/>
          <w:lang w:val="hy-AM" w:eastAsia="ru-RU"/>
        </w:rPr>
        <w:t>մարզերի կամ բազմաբնակավայր համայնքների զարգացման հնգամյա ծրագրերի, բյուջեների մշտադիտարկում-հետազոտություն,</w:t>
      </w:r>
    </w:p>
    <w:p w:rsidR="00C92AF2" w:rsidRPr="00E20915" w:rsidRDefault="00C92AF2" w:rsidP="00C92AF2">
      <w:pPr>
        <w:numPr>
          <w:ilvl w:val="0"/>
          <w:numId w:val="2"/>
        </w:numPr>
        <w:tabs>
          <w:tab w:val="clear" w:pos="720"/>
        </w:tabs>
        <w:spacing w:after="120"/>
        <w:ind w:left="426"/>
        <w:rPr>
          <w:color w:val="000000"/>
          <w:lang w:val="hy-AM" w:eastAsia="ru-RU"/>
        </w:rPr>
      </w:pPr>
      <w:r w:rsidRPr="00E20915">
        <w:rPr>
          <w:color w:val="000000"/>
          <w:lang w:val="hy-AM" w:eastAsia="ru-RU"/>
        </w:rPr>
        <w:t>հաշվետու և թափանցիկ աշխատանքի էլեկտրոնային լուծումներ</w:t>
      </w:r>
      <w:r w:rsidRPr="00E20915">
        <w:rPr>
          <w:rFonts w:hAnsi="Times New Roman"/>
          <w:color w:val="000000"/>
          <w:lang w:val="hy-AM" w:eastAsia="ru-RU"/>
        </w:rPr>
        <w:t>․</w:t>
      </w:r>
      <w:r w:rsidRPr="00E20915">
        <w:rPr>
          <w:color w:val="000000"/>
          <w:lang w:val="hy-AM" w:eastAsia="ru-RU"/>
        </w:rPr>
        <w:t xml:space="preserve"> համայնքների և/կամ հանրակրթական դպրոցների պաշտոնական կայքերի մշտադիտարկում,</w:t>
      </w:r>
    </w:p>
    <w:p w:rsidR="00C92AF2" w:rsidRPr="00E20915" w:rsidRDefault="00C92AF2" w:rsidP="00C92AF2">
      <w:pPr>
        <w:numPr>
          <w:ilvl w:val="0"/>
          <w:numId w:val="2"/>
        </w:numPr>
        <w:tabs>
          <w:tab w:val="clear" w:pos="720"/>
        </w:tabs>
        <w:spacing w:after="120"/>
        <w:ind w:left="426"/>
        <w:rPr>
          <w:color w:val="000000"/>
          <w:lang w:val="hy-AM" w:eastAsia="ru-RU"/>
        </w:rPr>
      </w:pPr>
      <w:r w:rsidRPr="00E20915">
        <w:rPr>
          <w:color w:val="000000"/>
          <w:lang w:val="hy-AM" w:eastAsia="ru-RU"/>
        </w:rPr>
        <w:t xml:space="preserve">հատուկ հաստատությունների (մանկատուն, տարեցների տուն, խնամքի կենտրոններ, գիշերօթիկ հաստատություններ և այլն) պայմանների և գործունեության մշտադիտարկում, </w:t>
      </w:r>
    </w:p>
    <w:p w:rsidR="00C92AF2" w:rsidRPr="00E20915" w:rsidRDefault="00C92AF2" w:rsidP="00C92AF2">
      <w:pPr>
        <w:numPr>
          <w:ilvl w:val="0"/>
          <w:numId w:val="2"/>
        </w:numPr>
        <w:tabs>
          <w:tab w:val="clear" w:pos="720"/>
        </w:tabs>
        <w:spacing w:after="120"/>
        <w:ind w:left="426"/>
        <w:rPr>
          <w:color w:val="000000"/>
          <w:lang w:val="hy-AM" w:eastAsia="ru-RU"/>
        </w:rPr>
      </w:pPr>
      <w:r w:rsidRPr="00E20915">
        <w:rPr>
          <w:color w:val="000000"/>
          <w:lang w:val="hy-AM" w:eastAsia="ru-RU"/>
        </w:rPr>
        <w:t xml:space="preserve">ՏԻՄ գործունեության արդյունավետության մշտադիտարկում, </w:t>
      </w:r>
    </w:p>
    <w:p w:rsidR="00C92AF2" w:rsidRPr="00E20915" w:rsidRDefault="00C92AF2" w:rsidP="00C92AF2">
      <w:pPr>
        <w:numPr>
          <w:ilvl w:val="0"/>
          <w:numId w:val="2"/>
        </w:numPr>
        <w:tabs>
          <w:tab w:val="clear" w:pos="720"/>
        </w:tabs>
        <w:spacing w:after="120"/>
        <w:ind w:left="426"/>
        <w:rPr>
          <w:color w:val="000000"/>
          <w:lang w:val="hy-AM" w:eastAsia="ru-RU"/>
        </w:rPr>
      </w:pPr>
      <w:r w:rsidRPr="00E20915">
        <w:rPr>
          <w:color w:val="000000"/>
          <w:lang w:val="hy-AM" w:eastAsia="ru-RU"/>
        </w:rPr>
        <w:t xml:space="preserve">բժշկական հաստատություններում ծառայությունների մատչելիության, մասնագետների առկայության, հիվանդների ընդունման, վճարովի ծառայությունների մատուցման և մատչելիության, առաջնային բուժօգնության հասանելիության և այլ գործընթացների մշտադիտարկում, </w:t>
      </w:r>
    </w:p>
    <w:p w:rsidR="00C92AF2" w:rsidRPr="00E20915" w:rsidRDefault="00C92AF2" w:rsidP="00C92AF2">
      <w:pPr>
        <w:numPr>
          <w:ilvl w:val="0"/>
          <w:numId w:val="2"/>
        </w:numPr>
        <w:tabs>
          <w:tab w:val="clear" w:pos="720"/>
        </w:tabs>
        <w:spacing w:after="120"/>
        <w:ind w:left="426"/>
        <w:rPr>
          <w:color w:val="000000"/>
          <w:lang w:val="hy-AM" w:eastAsia="ru-RU"/>
        </w:rPr>
      </w:pPr>
      <w:r w:rsidRPr="00E20915">
        <w:rPr>
          <w:color w:val="000000"/>
          <w:lang w:val="hy-AM" w:eastAsia="ru-RU"/>
        </w:rPr>
        <w:lastRenderedPageBreak/>
        <w:t xml:space="preserve">սոցիալական արդարության մշտադիտարկում. բնակչության կենսամակարդակը տարածաշրջաններում, զբաղվածություն, նպաստ, կենսաթոշակ, կրթության հասանելիություն, գրադարանների, բժշկական հաստատությունների հասանելիություն և այլն, </w:t>
      </w:r>
    </w:p>
    <w:p w:rsidR="00C92AF2" w:rsidRPr="00E20915" w:rsidRDefault="00C92AF2" w:rsidP="00C92AF2">
      <w:pPr>
        <w:numPr>
          <w:ilvl w:val="0"/>
          <w:numId w:val="2"/>
        </w:numPr>
        <w:tabs>
          <w:tab w:val="clear" w:pos="720"/>
        </w:tabs>
        <w:spacing w:after="120"/>
        <w:ind w:left="426"/>
        <w:rPr>
          <w:color w:val="000000"/>
          <w:lang w:val="hy-AM" w:eastAsia="ru-RU"/>
        </w:rPr>
      </w:pPr>
      <w:r w:rsidRPr="00E20915">
        <w:rPr>
          <w:color w:val="000000"/>
          <w:lang w:val="hy-AM" w:eastAsia="ru-RU"/>
        </w:rPr>
        <w:t>արդարադատության ոլորտի մշտադիտարկում. առկա խնդիրները և դրանց լուծմանն ուղղված հնարավոր տարբերակներն ու գործողությունները, արդարադատության մատչելիությունն ու արդյունավետությունը, դատարաններ դիմելու համար նախատեսված պետական տուրքերի դրույքաչափերի ողջամտությունը, դատավորների բարեվարքության հետ կապված հարցեր, դատական ակտերի հարկադիր կատարման ծառայությունների որակն ու արդյունավետությունը,</w:t>
      </w:r>
    </w:p>
    <w:p w:rsidR="00C92AF2" w:rsidRPr="00E20915" w:rsidRDefault="00C92AF2" w:rsidP="00C92AF2">
      <w:pPr>
        <w:numPr>
          <w:ilvl w:val="0"/>
          <w:numId w:val="2"/>
        </w:numPr>
        <w:tabs>
          <w:tab w:val="clear" w:pos="720"/>
        </w:tabs>
        <w:spacing w:after="120"/>
        <w:ind w:left="426"/>
        <w:rPr>
          <w:color w:val="000000"/>
          <w:lang w:val="hy-AM" w:eastAsia="ru-RU"/>
        </w:rPr>
      </w:pPr>
      <w:r w:rsidRPr="00E20915">
        <w:rPr>
          <w:color w:val="000000"/>
          <w:lang w:val="hy-AM" w:eastAsia="ru-RU"/>
        </w:rPr>
        <w:t>կոռուպցիոն ռիսկերի բացահայտմանն ուղղված մշտադիտարկում. պետական գնումներ, հանրային տրանսպորտ, համայնքային մրցույթներ,</w:t>
      </w:r>
    </w:p>
    <w:p w:rsidR="00C92AF2" w:rsidRPr="00E20915" w:rsidRDefault="00C92AF2" w:rsidP="00C92AF2">
      <w:pPr>
        <w:numPr>
          <w:ilvl w:val="0"/>
          <w:numId w:val="2"/>
        </w:numPr>
        <w:tabs>
          <w:tab w:val="clear" w:pos="720"/>
        </w:tabs>
        <w:spacing w:after="120"/>
        <w:ind w:left="426"/>
        <w:rPr>
          <w:color w:val="000000"/>
          <w:lang w:val="hy-AM" w:eastAsia="ru-RU"/>
        </w:rPr>
      </w:pPr>
      <w:r w:rsidRPr="00E20915">
        <w:rPr>
          <w:color w:val="000000"/>
          <w:lang w:val="hy-AM" w:eastAsia="ru-RU"/>
        </w:rPr>
        <w:t>համայնքային և միջհամայնքային տրանսպորտի մշտադիտարկում</w:t>
      </w:r>
      <w:r w:rsidRPr="00E20915">
        <w:rPr>
          <w:rFonts w:hAnsi="Times New Roman"/>
          <w:color w:val="000000"/>
          <w:lang w:val="hy-AM" w:eastAsia="ru-RU"/>
        </w:rPr>
        <w:t>․</w:t>
      </w:r>
      <w:r w:rsidRPr="00E20915">
        <w:rPr>
          <w:color w:val="000000"/>
          <w:lang w:val="hy-AM" w:eastAsia="ru-RU"/>
        </w:rPr>
        <w:t xml:space="preserve"> երթուղիների շահագործման հիմնավորվածությունը, սպասարկող մեքենաների և վարորդների որակավորման համապատասխանությունը մրցութային չափորոշիչներին և այլն,</w:t>
      </w:r>
    </w:p>
    <w:p w:rsidR="00C92AF2" w:rsidRPr="00E20915" w:rsidRDefault="00C92AF2" w:rsidP="00C92AF2">
      <w:pPr>
        <w:numPr>
          <w:ilvl w:val="0"/>
          <w:numId w:val="2"/>
        </w:numPr>
        <w:tabs>
          <w:tab w:val="clear" w:pos="720"/>
        </w:tabs>
        <w:spacing w:after="120"/>
        <w:ind w:left="426"/>
        <w:rPr>
          <w:color w:val="000000"/>
          <w:lang w:val="hy-AM" w:eastAsia="ru-RU"/>
        </w:rPr>
      </w:pPr>
      <w:r w:rsidRPr="00E20915">
        <w:rPr>
          <w:color w:val="000000"/>
          <w:lang w:val="hy-AM" w:eastAsia="ru-RU"/>
        </w:rPr>
        <w:t>համընդհանուր ներառականության անցման գործընթացի, բարեվարքության, կոռուպցիոն ռիսկերի կրճատման և որակի ապահովման խնդիրների, հանրակրթության ոլորտում նոր ընդունված չափորոշիչների ազդեցության մշտադիտարկում,</w:t>
      </w:r>
    </w:p>
    <w:p w:rsidR="00C92AF2" w:rsidRPr="00E20915" w:rsidRDefault="00C92AF2" w:rsidP="00C92AF2">
      <w:pPr>
        <w:numPr>
          <w:ilvl w:val="0"/>
          <w:numId w:val="2"/>
        </w:numPr>
        <w:tabs>
          <w:tab w:val="clear" w:pos="720"/>
        </w:tabs>
        <w:spacing w:after="120"/>
        <w:ind w:left="426"/>
        <w:rPr>
          <w:color w:val="000000"/>
          <w:lang w:val="hy-AM" w:eastAsia="ru-RU"/>
        </w:rPr>
      </w:pPr>
      <w:r w:rsidRPr="00E20915">
        <w:rPr>
          <w:color w:val="000000"/>
          <w:lang w:val="hy-AM" w:eastAsia="ru-RU"/>
        </w:rPr>
        <w:t>հանրակրթական հաստատություններում դպրոցի, ծնողական և աշակերտական խորհուրդների  գործունեության արդյունավետության մշտադիտարկում,</w:t>
      </w:r>
    </w:p>
    <w:p w:rsidR="00C92AF2" w:rsidRPr="00E20915" w:rsidRDefault="00C92AF2" w:rsidP="00C92AF2">
      <w:pPr>
        <w:numPr>
          <w:ilvl w:val="0"/>
          <w:numId w:val="2"/>
        </w:numPr>
        <w:tabs>
          <w:tab w:val="clear" w:pos="720"/>
        </w:tabs>
        <w:spacing w:after="120"/>
        <w:ind w:left="426"/>
        <w:rPr>
          <w:color w:val="000000"/>
          <w:lang w:val="hy-AM" w:eastAsia="ru-RU"/>
        </w:rPr>
      </w:pPr>
      <w:r w:rsidRPr="00E20915">
        <w:rPr>
          <w:color w:val="000000"/>
          <w:lang w:val="hy-AM" w:eastAsia="ru-RU"/>
        </w:rPr>
        <w:t>հաշմանդամություն ունեցող անձանց համար հանրային նշանակության շինությունների մատչելիության մշտադիտարկում,</w:t>
      </w:r>
    </w:p>
    <w:p w:rsidR="00C92AF2" w:rsidRPr="00E20915" w:rsidRDefault="00C92AF2" w:rsidP="00C92AF2">
      <w:pPr>
        <w:numPr>
          <w:ilvl w:val="0"/>
          <w:numId w:val="2"/>
        </w:numPr>
        <w:tabs>
          <w:tab w:val="clear" w:pos="720"/>
        </w:tabs>
        <w:spacing w:after="120"/>
        <w:ind w:left="426"/>
        <w:rPr>
          <w:color w:val="000000"/>
          <w:lang w:val="hy-AM" w:eastAsia="ru-RU"/>
        </w:rPr>
      </w:pPr>
      <w:r w:rsidRPr="00E20915">
        <w:rPr>
          <w:color w:val="000000"/>
          <w:lang w:val="hy-AM" w:eastAsia="ru-RU"/>
        </w:rPr>
        <w:t>համայնքների սուբվենցիոն ծրագրերի մշտադիտարկում,</w:t>
      </w:r>
    </w:p>
    <w:p w:rsidR="00C92AF2" w:rsidRPr="00E20915" w:rsidRDefault="00C92AF2" w:rsidP="00C92AF2">
      <w:pPr>
        <w:numPr>
          <w:ilvl w:val="0"/>
          <w:numId w:val="2"/>
        </w:numPr>
        <w:tabs>
          <w:tab w:val="clear" w:pos="720"/>
        </w:tabs>
        <w:spacing w:after="120"/>
        <w:ind w:left="426"/>
        <w:rPr>
          <w:color w:val="000000"/>
          <w:lang w:val="hy-AM" w:eastAsia="ru-RU"/>
        </w:rPr>
      </w:pPr>
      <w:r w:rsidRPr="00E20915">
        <w:rPr>
          <w:color w:val="000000"/>
          <w:lang w:val="hy-AM" w:eastAsia="ru-RU"/>
        </w:rPr>
        <w:t>համայքների պաշտոնական կայքերի մշտադիտարկում,</w:t>
      </w:r>
    </w:p>
    <w:p w:rsidR="00C92AF2" w:rsidRPr="00E20915" w:rsidRDefault="00C92AF2" w:rsidP="00C92AF2">
      <w:pPr>
        <w:numPr>
          <w:ilvl w:val="0"/>
          <w:numId w:val="2"/>
        </w:numPr>
        <w:tabs>
          <w:tab w:val="clear" w:pos="720"/>
        </w:tabs>
        <w:spacing w:after="120"/>
        <w:ind w:left="426"/>
        <w:rPr>
          <w:color w:val="000000"/>
          <w:lang w:val="hy-AM" w:eastAsia="ru-RU"/>
        </w:rPr>
      </w:pPr>
      <w:r w:rsidRPr="00E20915">
        <w:rPr>
          <w:color w:val="000000"/>
          <w:lang w:val="hy-AM" w:eastAsia="ru-RU"/>
        </w:rPr>
        <w:t>Հայաստանի տարածքային զարգացման ռազմավարության՝ Շիրակի մարզում նախատեսված ծրագրերի մշտադիտարկում,</w:t>
      </w:r>
    </w:p>
    <w:p w:rsidR="00C92AF2" w:rsidRPr="00E20915" w:rsidRDefault="00C92AF2" w:rsidP="00C92AF2">
      <w:pPr>
        <w:numPr>
          <w:ilvl w:val="0"/>
          <w:numId w:val="2"/>
        </w:numPr>
        <w:tabs>
          <w:tab w:val="clear" w:pos="720"/>
        </w:tabs>
        <w:spacing w:after="120"/>
        <w:ind w:left="426"/>
        <w:rPr>
          <w:color w:val="000000"/>
          <w:lang w:val="hy-AM" w:eastAsia="ru-RU"/>
        </w:rPr>
      </w:pPr>
      <w:r w:rsidRPr="00E20915">
        <w:rPr>
          <w:color w:val="000000"/>
          <w:lang w:val="hy-AM" w:eastAsia="ru-RU"/>
        </w:rPr>
        <w:t>նոր մոդելի պարեկային ծառայության արդյունավետության մշտադիտարկում,</w:t>
      </w:r>
    </w:p>
    <w:p w:rsidR="00C92AF2" w:rsidRPr="00E20915" w:rsidRDefault="00C92AF2" w:rsidP="00C92AF2">
      <w:pPr>
        <w:numPr>
          <w:ilvl w:val="0"/>
          <w:numId w:val="2"/>
        </w:numPr>
        <w:tabs>
          <w:tab w:val="clear" w:pos="720"/>
        </w:tabs>
        <w:spacing w:after="120"/>
        <w:ind w:left="426"/>
        <w:rPr>
          <w:color w:val="000000"/>
          <w:lang w:val="hy-AM" w:eastAsia="ru-RU"/>
        </w:rPr>
      </w:pPr>
      <w:r w:rsidRPr="00E20915">
        <w:rPr>
          <w:color w:val="000000"/>
          <w:lang w:val="hy-AM" w:eastAsia="ru-RU"/>
        </w:rPr>
        <w:t>մանկավարժների կամավոր և հերթական ատեստացիայի, վերապատրաստման դասընթացների արդյունավետության մշտադիտարկում,</w:t>
      </w:r>
    </w:p>
    <w:p w:rsidR="00C92AF2" w:rsidRPr="00E20915" w:rsidRDefault="00C92AF2" w:rsidP="00C92AF2">
      <w:pPr>
        <w:numPr>
          <w:ilvl w:val="0"/>
          <w:numId w:val="2"/>
        </w:numPr>
        <w:tabs>
          <w:tab w:val="clear" w:pos="720"/>
        </w:tabs>
        <w:spacing w:after="120"/>
        <w:ind w:left="426"/>
        <w:rPr>
          <w:color w:val="000000"/>
          <w:lang w:val="hy-AM" w:eastAsia="ru-RU"/>
        </w:rPr>
      </w:pPr>
      <w:r w:rsidRPr="00E20915">
        <w:rPr>
          <w:color w:val="000000"/>
          <w:lang w:val="hy-AM" w:eastAsia="ru-RU"/>
        </w:rPr>
        <w:t>հեռավոր և սահմանային գյուղական համայնքներում և բնակավայրերում կրթության որակի և հասանելիության մշտադիտարկում,</w:t>
      </w:r>
    </w:p>
    <w:p w:rsidR="00C92AF2" w:rsidRPr="00E20915" w:rsidRDefault="00C92AF2" w:rsidP="00C92AF2">
      <w:pPr>
        <w:numPr>
          <w:ilvl w:val="0"/>
          <w:numId w:val="2"/>
        </w:numPr>
        <w:tabs>
          <w:tab w:val="clear" w:pos="720"/>
        </w:tabs>
        <w:spacing w:after="120"/>
        <w:ind w:left="426"/>
        <w:rPr>
          <w:color w:val="000000"/>
          <w:lang w:val="hy-AM" w:eastAsia="ru-RU"/>
        </w:rPr>
      </w:pPr>
      <w:r w:rsidRPr="00E20915">
        <w:rPr>
          <w:color w:val="000000"/>
          <w:lang w:val="hy-AM" w:eastAsia="ru-RU"/>
        </w:rPr>
        <w:t xml:space="preserve">պետական, տարածքային կառավարման, տեղական ինքնակառավարման մարմիններում և դրանց ենթակառուցվածքներում երկարաժամկետ ժամանակավոր պաշտոնակատարների ինստիտուտի նպատակահարմարության մշտադիտարկում, </w:t>
      </w:r>
    </w:p>
    <w:p w:rsidR="00C92AF2" w:rsidRPr="00E20915" w:rsidRDefault="00C92AF2" w:rsidP="00C92AF2">
      <w:pPr>
        <w:numPr>
          <w:ilvl w:val="0"/>
          <w:numId w:val="2"/>
        </w:numPr>
        <w:tabs>
          <w:tab w:val="clear" w:pos="720"/>
        </w:tabs>
        <w:spacing w:after="120"/>
        <w:ind w:left="426"/>
        <w:rPr>
          <w:color w:val="000000"/>
          <w:lang w:val="hy-AM" w:eastAsia="ru-RU"/>
        </w:rPr>
      </w:pPr>
      <w:r w:rsidRPr="00E20915">
        <w:rPr>
          <w:color w:val="000000"/>
          <w:lang w:val="hy-AM" w:eastAsia="ru-RU"/>
        </w:rPr>
        <w:t>44-օրյա պատերազմի ժամանակ և դրանից հետո ադրբեջանական ագրեսիայի զոհ և տուժած զինծառայողների և սահմանամերձ քաղաքացիական բնակչության իրավական, սոցիալ-տնտեսական, հոգեբանական և այլ խնդիրների մշտադիտարկում,</w:t>
      </w:r>
    </w:p>
    <w:p w:rsidR="00C92AF2" w:rsidRPr="00E20915" w:rsidRDefault="00C92AF2" w:rsidP="00C92AF2">
      <w:pPr>
        <w:numPr>
          <w:ilvl w:val="0"/>
          <w:numId w:val="2"/>
        </w:numPr>
        <w:tabs>
          <w:tab w:val="clear" w:pos="720"/>
        </w:tabs>
        <w:spacing w:after="120"/>
        <w:ind w:left="426"/>
        <w:rPr>
          <w:color w:val="000000"/>
          <w:lang w:val="hy-AM" w:eastAsia="ru-RU"/>
        </w:rPr>
      </w:pPr>
      <w:r w:rsidRPr="00E20915">
        <w:rPr>
          <w:color w:val="000000"/>
          <w:lang w:val="hy-AM" w:eastAsia="ru-RU"/>
        </w:rPr>
        <w:t>այլ թեմաներով մշտադիտարկումներ:</w:t>
      </w:r>
    </w:p>
    <w:p w:rsidR="00C92AF2" w:rsidRPr="00E20915" w:rsidRDefault="00C92AF2" w:rsidP="00C92AF2">
      <w:pPr>
        <w:spacing w:after="120"/>
        <w:ind w:left="426"/>
        <w:rPr>
          <w:color w:val="000000"/>
          <w:lang w:val="hy-AM" w:eastAsia="ru-RU"/>
        </w:rPr>
      </w:pPr>
    </w:p>
    <w:p w:rsidR="00C92AF2" w:rsidRPr="00E20915" w:rsidRDefault="00C92AF2" w:rsidP="00C92AF2">
      <w:pPr>
        <w:spacing w:after="120"/>
        <w:ind w:firstLine="567"/>
        <w:rPr>
          <w:b/>
          <w:bCs/>
          <w:color w:val="000000"/>
          <w:lang w:val="hy-AM" w:eastAsia="ru-RU"/>
        </w:rPr>
      </w:pPr>
      <w:r w:rsidRPr="00E20915">
        <w:rPr>
          <w:b/>
          <w:bCs/>
          <w:iCs/>
          <w:color w:val="000000"/>
          <w:lang w:val="hy-AM" w:eastAsia="ru-RU"/>
        </w:rPr>
        <w:t>**Քաղաքացիական հասարակության հզորացումը ենթադրում է.</w:t>
      </w:r>
    </w:p>
    <w:p w:rsidR="00C92AF2" w:rsidRPr="00E20915" w:rsidRDefault="00C92AF2" w:rsidP="00C92AF2">
      <w:pPr>
        <w:numPr>
          <w:ilvl w:val="0"/>
          <w:numId w:val="3"/>
        </w:numPr>
        <w:tabs>
          <w:tab w:val="clear" w:pos="720"/>
        </w:tabs>
        <w:spacing w:after="120"/>
        <w:ind w:left="426"/>
        <w:rPr>
          <w:color w:val="000000"/>
          <w:lang w:val="hy-AM" w:eastAsia="ru-RU"/>
        </w:rPr>
      </w:pPr>
      <w:r w:rsidRPr="00E20915">
        <w:rPr>
          <w:color w:val="000000"/>
          <w:lang w:val="hy-AM" w:eastAsia="ru-RU"/>
        </w:rPr>
        <w:t xml:space="preserve">հանրային մասնակցության և վերահսկողության արդյունավետ մեխանիզմների ստեղծում, </w:t>
      </w:r>
    </w:p>
    <w:p w:rsidR="00C92AF2" w:rsidRPr="00E20915" w:rsidRDefault="00C92AF2" w:rsidP="00C92AF2">
      <w:pPr>
        <w:numPr>
          <w:ilvl w:val="0"/>
          <w:numId w:val="3"/>
        </w:numPr>
        <w:tabs>
          <w:tab w:val="clear" w:pos="720"/>
        </w:tabs>
        <w:spacing w:after="120"/>
        <w:ind w:left="426"/>
        <w:rPr>
          <w:color w:val="000000"/>
          <w:lang w:val="hy-AM" w:eastAsia="ru-RU"/>
        </w:rPr>
      </w:pPr>
      <w:r w:rsidRPr="00E20915">
        <w:rPr>
          <w:color w:val="000000"/>
          <w:lang w:val="hy-AM" w:eastAsia="ru-RU"/>
        </w:rPr>
        <w:t xml:space="preserve">համայնքի զարգացման այլընտրանքային ռազմավարությունների մշակում, </w:t>
      </w:r>
    </w:p>
    <w:p w:rsidR="00C92AF2" w:rsidRPr="001D2DBD" w:rsidRDefault="00C92AF2" w:rsidP="00C92AF2">
      <w:pPr>
        <w:numPr>
          <w:ilvl w:val="0"/>
          <w:numId w:val="3"/>
        </w:numPr>
        <w:tabs>
          <w:tab w:val="clear" w:pos="720"/>
        </w:tabs>
        <w:spacing w:after="120"/>
        <w:ind w:left="426"/>
        <w:rPr>
          <w:color w:val="000000"/>
          <w:lang w:val="hy-AM" w:eastAsia="ru-RU"/>
        </w:rPr>
      </w:pPr>
      <w:r w:rsidRPr="001D2DBD">
        <w:rPr>
          <w:color w:val="000000"/>
          <w:lang w:val="hy-AM" w:eastAsia="ru-RU"/>
        </w:rPr>
        <w:t>ՏԻՄ-երի հետ երկխոսության ու համագործակցության զարգացմանն ուղղված նախաձեռնությունների խրախուսում</w:t>
      </w:r>
      <w:r w:rsidRPr="001D2DBD">
        <w:rPr>
          <w:b/>
          <w:bCs/>
          <w:color w:val="000000"/>
          <w:lang w:val="hy-AM" w:eastAsia="ru-RU"/>
        </w:rPr>
        <w:t>,</w:t>
      </w:r>
    </w:p>
    <w:p w:rsidR="00C92AF2" w:rsidRPr="001D2DBD" w:rsidRDefault="00C92AF2" w:rsidP="00C92AF2">
      <w:pPr>
        <w:numPr>
          <w:ilvl w:val="0"/>
          <w:numId w:val="3"/>
        </w:numPr>
        <w:tabs>
          <w:tab w:val="clear" w:pos="720"/>
        </w:tabs>
        <w:spacing w:after="120"/>
        <w:ind w:left="426"/>
        <w:rPr>
          <w:color w:val="000000"/>
          <w:lang w:val="hy-AM" w:eastAsia="ru-RU"/>
        </w:rPr>
      </w:pPr>
      <w:r w:rsidRPr="001D2DBD">
        <w:rPr>
          <w:color w:val="000000"/>
          <w:lang w:val="hy-AM" w:eastAsia="ru-RU"/>
        </w:rPr>
        <w:lastRenderedPageBreak/>
        <w:t>համայնքի սոցիալական</w:t>
      </w:r>
      <w:r w:rsidRPr="00E20915">
        <w:rPr>
          <w:color w:val="000000"/>
          <w:lang w:val="hy-AM" w:eastAsia="ru-RU"/>
        </w:rPr>
        <w:t>՝ ոչ նյութական</w:t>
      </w:r>
      <w:r w:rsidRPr="001D2DBD">
        <w:rPr>
          <w:color w:val="000000"/>
          <w:lang w:val="hy-AM" w:eastAsia="ru-RU"/>
        </w:rPr>
        <w:t xml:space="preserve"> կապիտալի ներուժ</w:t>
      </w:r>
      <w:r w:rsidRPr="00E20915">
        <w:rPr>
          <w:color w:val="000000"/>
          <w:lang w:val="hy-AM" w:eastAsia="ru-RU"/>
        </w:rPr>
        <w:t>ի</w:t>
      </w:r>
      <w:r w:rsidRPr="001D2DBD">
        <w:rPr>
          <w:color w:val="000000"/>
          <w:lang w:val="hy-AM" w:eastAsia="ru-RU"/>
        </w:rPr>
        <w:t xml:space="preserve"> օգտագործում</w:t>
      </w:r>
      <w:r w:rsidRPr="001D2DBD">
        <w:rPr>
          <w:b/>
          <w:bCs/>
          <w:color w:val="000000"/>
          <w:lang w:val="hy-AM" w:eastAsia="ru-RU"/>
        </w:rPr>
        <w:t>,</w:t>
      </w:r>
      <w:r w:rsidRPr="001D2DBD">
        <w:rPr>
          <w:color w:val="000000"/>
          <w:lang w:val="hy-AM" w:eastAsia="ru-RU"/>
        </w:rPr>
        <w:t xml:space="preserve"> </w:t>
      </w:r>
    </w:p>
    <w:p w:rsidR="00C92AF2" w:rsidRPr="001D2DBD" w:rsidRDefault="00C92AF2" w:rsidP="00C92AF2">
      <w:pPr>
        <w:numPr>
          <w:ilvl w:val="0"/>
          <w:numId w:val="3"/>
        </w:numPr>
        <w:tabs>
          <w:tab w:val="clear" w:pos="720"/>
        </w:tabs>
        <w:spacing w:after="120"/>
        <w:ind w:left="426"/>
        <w:rPr>
          <w:color w:val="000000"/>
          <w:lang w:val="hy-AM" w:eastAsia="ru-RU"/>
        </w:rPr>
      </w:pPr>
      <w:r w:rsidRPr="001D2DBD">
        <w:rPr>
          <w:color w:val="000000"/>
          <w:lang w:val="hy-AM" w:eastAsia="ru-RU"/>
        </w:rPr>
        <w:t xml:space="preserve">պետական, տարածքային և համայնքային ծրագրերի (ներառյալ սուբվենցիոն ծրագրերը) մշտադիտարկում, </w:t>
      </w:r>
    </w:p>
    <w:p w:rsidR="00C92AF2" w:rsidRPr="001D2DBD" w:rsidRDefault="00C92AF2" w:rsidP="00C92AF2">
      <w:pPr>
        <w:numPr>
          <w:ilvl w:val="0"/>
          <w:numId w:val="3"/>
        </w:numPr>
        <w:tabs>
          <w:tab w:val="clear" w:pos="720"/>
        </w:tabs>
        <w:spacing w:after="120"/>
        <w:ind w:left="426"/>
        <w:rPr>
          <w:color w:val="000000"/>
          <w:lang w:val="hy-AM" w:eastAsia="ru-RU"/>
        </w:rPr>
      </w:pPr>
      <w:r w:rsidRPr="001D2DBD">
        <w:rPr>
          <w:color w:val="000000"/>
          <w:lang w:val="hy-AM" w:eastAsia="ru-RU"/>
        </w:rPr>
        <w:t>հանրային քաղաքականություն և շահերի պաշտպանություն,</w:t>
      </w:r>
    </w:p>
    <w:p w:rsidR="00C92AF2" w:rsidRPr="001D2DBD" w:rsidRDefault="00C92AF2" w:rsidP="00C92AF2">
      <w:pPr>
        <w:numPr>
          <w:ilvl w:val="0"/>
          <w:numId w:val="3"/>
        </w:numPr>
        <w:tabs>
          <w:tab w:val="clear" w:pos="720"/>
        </w:tabs>
        <w:spacing w:after="120"/>
        <w:ind w:left="426"/>
        <w:rPr>
          <w:color w:val="000000"/>
          <w:lang w:val="hy-AM" w:eastAsia="ru-RU"/>
        </w:rPr>
      </w:pPr>
      <w:r w:rsidRPr="001D2DBD">
        <w:rPr>
          <w:color w:val="000000"/>
          <w:lang w:val="hy-AM" w:eastAsia="ru-RU"/>
        </w:rPr>
        <w:t>ՔՀԿ կայունության ցուցանիշի բարելավում (իրավական միջավայր, ֆինանսական կայունություն, կազմակերպական կարողություններ, ծառայությունների մատուցում, ենթակառուցվածք, հանրային ընկալում),</w:t>
      </w:r>
    </w:p>
    <w:p w:rsidR="00C92AF2" w:rsidRPr="001D2DBD" w:rsidRDefault="00C92AF2" w:rsidP="00C92AF2">
      <w:pPr>
        <w:numPr>
          <w:ilvl w:val="0"/>
          <w:numId w:val="3"/>
        </w:numPr>
        <w:tabs>
          <w:tab w:val="clear" w:pos="720"/>
        </w:tabs>
        <w:spacing w:after="120"/>
        <w:ind w:left="426"/>
        <w:rPr>
          <w:color w:val="000000"/>
          <w:lang w:val="hy-AM" w:eastAsia="ru-RU"/>
        </w:rPr>
      </w:pPr>
      <w:r w:rsidRPr="001D2DBD">
        <w:rPr>
          <w:color w:val="000000"/>
          <w:lang w:val="hy-AM" w:eastAsia="ru-RU"/>
        </w:rPr>
        <w:t xml:space="preserve">ՔՀԿ-ների մարդկային ռեսուսների և ինստիտուցիոնալ կարողությունների հզորացում, կենսունակ կազմակերպությունների ստեղծում, </w:t>
      </w:r>
    </w:p>
    <w:p w:rsidR="00C92AF2" w:rsidRPr="001D2DBD" w:rsidRDefault="00C92AF2" w:rsidP="00C92AF2">
      <w:pPr>
        <w:numPr>
          <w:ilvl w:val="0"/>
          <w:numId w:val="3"/>
        </w:numPr>
        <w:tabs>
          <w:tab w:val="clear" w:pos="720"/>
        </w:tabs>
        <w:spacing w:after="120"/>
        <w:ind w:left="426"/>
        <w:rPr>
          <w:color w:val="000000"/>
          <w:lang w:val="hy-AM" w:eastAsia="ru-RU"/>
        </w:rPr>
      </w:pPr>
      <w:r w:rsidRPr="00E20915">
        <w:rPr>
          <w:color w:val="000000"/>
          <w:lang w:val="hy-AM" w:eastAsia="ru-RU"/>
        </w:rPr>
        <w:t>ՔՀԿ-ների</w:t>
      </w:r>
      <w:r w:rsidRPr="001D2DBD">
        <w:rPr>
          <w:color w:val="000000"/>
          <w:lang w:val="hy-AM" w:eastAsia="ru-RU"/>
        </w:rPr>
        <w:t xml:space="preserve"> կառուցվածքի և կառավարման բարելավում, </w:t>
      </w:r>
    </w:p>
    <w:p w:rsidR="00C92AF2" w:rsidRPr="001D2DBD" w:rsidRDefault="00C92AF2" w:rsidP="00C92AF2">
      <w:pPr>
        <w:numPr>
          <w:ilvl w:val="0"/>
          <w:numId w:val="3"/>
        </w:numPr>
        <w:tabs>
          <w:tab w:val="clear" w:pos="720"/>
        </w:tabs>
        <w:spacing w:after="120"/>
        <w:ind w:left="426"/>
        <w:rPr>
          <w:color w:val="000000"/>
          <w:lang w:val="hy-AM" w:eastAsia="ru-RU"/>
        </w:rPr>
      </w:pPr>
      <w:r w:rsidRPr="00E20915">
        <w:rPr>
          <w:color w:val="000000"/>
          <w:lang w:val="hy-AM" w:eastAsia="ru-RU"/>
        </w:rPr>
        <w:t>ՔՀԿ-ների</w:t>
      </w:r>
      <w:r w:rsidRPr="001D2DBD">
        <w:rPr>
          <w:color w:val="000000"/>
          <w:lang w:val="hy-AM" w:eastAsia="ru-RU"/>
        </w:rPr>
        <w:t xml:space="preserve"> ներքին և արտաքին գնահատում, ռազմավարական ծրագրի</w:t>
      </w:r>
      <w:r w:rsidRPr="00E20915">
        <w:rPr>
          <w:color w:val="000000"/>
          <w:lang w:val="hy-AM" w:eastAsia="ru-RU"/>
        </w:rPr>
        <w:t xml:space="preserve"> և այլ փաստաթղթերի</w:t>
      </w:r>
      <w:r w:rsidRPr="001D2DBD">
        <w:rPr>
          <w:color w:val="000000"/>
          <w:lang w:val="hy-AM" w:eastAsia="ru-RU"/>
        </w:rPr>
        <w:t xml:space="preserve"> կազմում,</w:t>
      </w:r>
    </w:p>
    <w:p w:rsidR="00C92AF2" w:rsidRPr="001D2DBD" w:rsidRDefault="00C92AF2" w:rsidP="00C92AF2">
      <w:pPr>
        <w:numPr>
          <w:ilvl w:val="0"/>
          <w:numId w:val="3"/>
        </w:numPr>
        <w:tabs>
          <w:tab w:val="clear" w:pos="720"/>
        </w:tabs>
        <w:spacing w:after="120"/>
        <w:ind w:left="426"/>
        <w:jc w:val="left"/>
        <w:rPr>
          <w:color w:val="000000"/>
          <w:lang w:val="hy-AM" w:eastAsia="ru-RU"/>
        </w:rPr>
      </w:pPr>
      <w:r w:rsidRPr="00E20915">
        <w:rPr>
          <w:color w:val="000000"/>
          <w:lang w:val="hy-AM" w:eastAsia="ru-RU"/>
        </w:rPr>
        <w:t>ՔՀԿ-ների</w:t>
      </w:r>
      <w:r w:rsidRPr="001D2DBD">
        <w:rPr>
          <w:color w:val="000000"/>
          <w:lang w:val="hy-AM" w:eastAsia="ru-RU"/>
        </w:rPr>
        <w:t xml:space="preserve"> հանրային հարաբերությունների կառուցման և միջոցների հայթայթման գործիքակազմի մշակում,</w:t>
      </w:r>
    </w:p>
    <w:p w:rsidR="00C92AF2" w:rsidRPr="00E20915" w:rsidRDefault="00C92AF2" w:rsidP="00C92AF2">
      <w:pPr>
        <w:numPr>
          <w:ilvl w:val="0"/>
          <w:numId w:val="3"/>
        </w:numPr>
        <w:tabs>
          <w:tab w:val="clear" w:pos="720"/>
        </w:tabs>
        <w:spacing w:after="120"/>
        <w:ind w:left="426"/>
        <w:jc w:val="left"/>
        <w:rPr>
          <w:color w:val="000000"/>
          <w:lang w:eastAsia="ru-RU"/>
        </w:rPr>
      </w:pPr>
      <w:proofErr w:type="spellStart"/>
      <w:r w:rsidRPr="00E20915">
        <w:rPr>
          <w:color w:val="000000"/>
          <w:lang w:eastAsia="ru-RU"/>
        </w:rPr>
        <w:t>այլ</w:t>
      </w:r>
      <w:proofErr w:type="spellEnd"/>
      <w:r w:rsidRPr="00E20915">
        <w:rPr>
          <w:color w:val="000000"/>
          <w:lang w:val="ru-RU" w:eastAsia="ru-RU"/>
        </w:rPr>
        <w:t xml:space="preserve"> </w:t>
      </w:r>
      <w:r w:rsidRPr="00E20915">
        <w:rPr>
          <w:color w:val="000000"/>
          <w:lang w:val="hy-AM" w:eastAsia="ru-RU"/>
        </w:rPr>
        <w:t>գործողություններ</w:t>
      </w:r>
      <w:r w:rsidRPr="00E20915">
        <w:rPr>
          <w:color w:val="000000"/>
          <w:lang w:eastAsia="ru-RU"/>
        </w:rPr>
        <w:t>:</w:t>
      </w:r>
    </w:p>
    <w:p w:rsidR="00C92AF2" w:rsidRPr="00E20915" w:rsidRDefault="00C92AF2" w:rsidP="00C92AF2">
      <w:pPr>
        <w:spacing w:after="120"/>
        <w:ind w:left="426"/>
        <w:rPr>
          <w:color w:val="000000"/>
          <w:lang w:eastAsia="ru-RU"/>
        </w:rPr>
      </w:pPr>
    </w:p>
    <w:p w:rsidR="00C92AF2" w:rsidRPr="00E20915" w:rsidRDefault="00C92AF2" w:rsidP="00C92AF2">
      <w:pPr>
        <w:spacing w:after="120"/>
        <w:ind w:firstLine="567"/>
        <w:rPr>
          <w:b/>
          <w:bCs/>
          <w:color w:val="000000"/>
          <w:lang w:val="hy-AM" w:eastAsia="ru-RU"/>
        </w:rPr>
      </w:pPr>
      <w:r w:rsidRPr="00E20915">
        <w:rPr>
          <w:b/>
          <w:bCs/>
          <w:iCs/>
          <w:color w:val="000000"/>
          <w:lang w:val="hy-AM" w:eastAsia="ru-RU"/>
        </w:rPr>
        <w:t>***Հետազոտական-վերլուծական ծրագրերը ենթադրում են</w:t>
      </w:r>
      <w:r w:rsidRPr="00E20915">
        <w:rPr>
          <w:b/>
          <w:bCs/>
          <w:color w:val="000000"/>
          <w:lang w:val="hy-AM" w:eastAsia="ru-RU"/>
        </w:rPr>
        <w:t>.</w:t>
      </w:r>
    </w:p>
    <w:p w:rsidR="00C92AF2" w:rsidRPr="00E20915" w:rsidRDefault="00C92AF2" w:rsidP="00C92AF2">
      <w:pPr>
        <w:numPr>
          <w:ilvl w:val="0"/>
          <w:numId w:val="4"/>
        </w:numPr>
        <w:spacing w:after="120"/>
        <w:rPr>
          <w:bCs/>
          <w:iCs/>
          <w:color w:val="000000"/>
          <w:lang w:val="hy-AM" w:eastAsia="ru-RU"/>
        </w:rPr>
      </w:pPr>
      <w:r w:rsidRPr="00E20915">
        <w:rPr>
          <w:bCs/>
          <w:iCs/>
          <w:color w:val="000000"/>
          <w:lang w:val="hy-AM" w:eastAsia="ru-RU"/>
        </w:rPr>
        <w:t>ՀՀ Սյունիքի, Գեղարքունիքի և Շիրակի մարզերի հասարակական-քաղաքական, սոցիալ-տնտեսական, կրթական-մշակութային, առողջապահական-բնապահպանական և բարոյահոգեբանական իրավիճակի հետազոտություն-վերլուծություն,</w:t>
      </w:r>
    </w:p>
    <w:p w:rsidR="00C92AF2" w:rsidRPr="00E20915" w:rsidRDefault="00C92AF2" w:rsidP="00C92AF2">
      <w:pPr>
        <w:numPr>
          <w:ilvl w:val="0"/>
          <w:numId w:val="4"/>
        </w:numPr>
        <w:spacing w:after="120"/>
        <w:rPr>
          <w:bCs/>
          <w:iCs/>
          <w:color w:val="000000"/>
          <w:lang w:val="hy-AM" w:eastAsia="ru-RU"/>
        </w:rPr>
      </w:pPr>
      <w:r w:rsidRPr="00E20915">
        <w:rPr>
          <w:bCs/>
          <w:iCs/>
          <w:color w:val="000000"/>
          <w:lang w:val="hy-AM" w:eastAsia="ru-RU"/>
        </w:rPr>
        <w:t>համայնքներում առկա և միավորման արդյունքում ձևավորված ռեսուրսների հետազոտություն,</w:t>
      </w:r>
    </w:p>
    <w:p w:rsidR="00C92AF2" w:rsidRPr="00E20915" w:rsidRDefault="00C92AF2" w:rsidP="00C92AF2">
      <w:pPr>
        <w:numPr>
          <w:ilvl w:val="0"/>
          <w:numId w:val="4"/>
        </w:numPr>
        <w:spacing w:after="120"/>
        <w:rPr>
          <w:bCs/>
          <w:iCs/>
          <w:color w:val="000000"/>
          <w:lang w:val="hy-AM" w:eastAsia="ru-RU"/>
        </w:rPr>
      </w:pPr>
      <w:r w:rsidRPr="00E20915">
        <w:rPr>
          <w:bCs/>
          <w:iCs/>
          <w:color w:val="000000"/>
          <w:lang w:val="hy-AM" w:eastAsia="ru-RU"/>
        </w:rPr>
        <w:t>միջհամայնքային և ներհամայնքային կառավարման, սոցիալ-տնտեսական, կրթամշակութային ինտեգրման հետազոտություն,</w:t>
      </w:r>
    </w:p>
    <w:p w:rsidR="00C92AF2" w:rsidRPr="00E20915" w:rsidRDefault="00C92AF2" w:rsidP="00C92AF2">
      <w:pPr>
        <w:numPr>
          <w:ilvl w:val="0"/>
          <w:numId w:val="4"/>
        </w:numPr>
        <w:spacing w:after="120"/>
        <w:rPr>
          <w:bCs/>
          <w:iCs/>
          <w:color w:val="000000"/>
          <w:lang w:val="hy-AM" w:eastAsia="ru-RU"/>
        </w:rPr>
      </w:pPr>
      <w:r w:rsidRPr="00E20915">
        <w:rPr>
          <w:bCs/>
          <w:iCs/>
          <w:color w:val="000000"/>
          <w:lang w:val="hy-AM" w:eastAsia="ru-RU"/>
        </w:rPr>
        <w:t>տեղական մակարդակում որոշումների կայացմանը մասնակցության մեխանիզմները և դրանց ընդլայնման հնարավորությունների հետազոտություն,</w:t>
      </w:r>
    </w:p>
    <w:p w:rsidR="00C92AF2" w:rsidRPr="00E20915" w:rsidRDefault="00C92AF2" w:rsidP="00C92AF2">
      <w:pPr>
        <w:numPr>
          <w:ilvl w:val="0"/>
          <w:numId w:val="4"/>
        </w:numPr>
        <w:spacing w:after="120"/>
        <w:rPr>
          <w:bCs/>
          <w:iCs/>
          <w:color w:val="000000"/>
          <w:lang w:val="hy-AM" w:eastAsia="ru-RU"/>
        </w:rPr>
      </w:pPr>
      <w:r w:rsidRPr="00E20915">
        <w:rPr>
          <w:bCs/>
          <w:iCs/>
          <w:color w:val="000000"/>
          <w:lang w:val="hy-AM" w:eastAsia="ru-RU"/>
        </w:rPr>
        <w:t>միավորված համայնքների ոչ նյութական ռեսուրսների գնահատում,</w:t>
      </w:r>
    </w:p>
    <w:p w:rsidR="00C92AF2" w:rsidRPr="00E20915" w:rsidRDefault="00C92AF2" w:rsidP="00C92AF2">
      <w:pPr>
        <w:numPr>
          <w:ilvl w:val="0"/>
          <w:numId w:val="4"/>
        </w:numPr>
        <w:spacing w:after="120"/>
        <w:rPr>
          <w:bCs/>
          <w:iCs/>
          <w:color w:val="000000"/>
          <w:lang w:val="hy-AM" w:eastAsia="ru-RU"/>
        </w:rPr>
      </w:pPr>
      <w:r w:rsidRPr="00E20915">
        <w:rPr>
          <w:bCs/>
          <w:iCs/>
          <w:color w:val="000000"/>
          <w:lang w:val="hy-AM" w:eastAsia="ru-RU"/>
        </w:rPr>
        <w:t>շահառու մարզերի հեռավոր ու սահմանային համայնքներում ժողովրդագրական պատկերի և զարգացման միտումների հետազոտություն,</w:t>
      </w:r>
    </w:p>
    <w:p w:rsidR="00C92AF2" w:rsidRPr="00E20915" w:rsidRDefault="00C92AF2" w:rsidP="00C92AF2">
      <w:pPr>
        <w:numPr>
          <w:ilvl w:val="0"/>
          <w:numId w:val="4"/>
        </w:numPr>
        <w:spacing w:after="120"/>
        <w:rPr>
          <w:bCs/>
          <w:iCs/>
          <w:color w:val="000000"/>
          <w:lang w:val="hy-AM" w:eastAsia="ru-RU"/>
        </w:rPr>
      </w:pPr>
      <w:r w:rsidRPr="00E20915">
        <w:rPr>
          <w:bCs/>
          <w:iCs/>
          <w:color w:val="000000"/>
          <w:lang w:val="hy-AM" w:eastAsia="ru-RU"/>
        </w:rPr>
        <w:t>տեղական մակարդակում որոշումների կայացման գործընթացներում ՔՀԿ-ների դերի հետազոտություն,</w:t>
      </w:r>
    </w:p>
    <w:p w:rsidR="00C92AF2" w:rsidRPr="00E20915" w:rsidRDefault="00C92AF2" w:rsidP="00C92AF2">
      <w:pPr>
        <w:numPr>
          <w:ilvl w:val="0"/>
          <w:numId w:val="4"/>
        </w:numPr>
        <w:spacing w:after="120"/>
        <w:rPr>
          <w:bCs/>
          <w:iCs/>
          <w:color w:val="000000"/>
          <w:lang w:val="hy-AM" w:eastAsia="ru-RU"/>
        </w:rPr>
      </w:pPr>
      <w:r w:rsidRPr="00E20915">
        <w:rPr>
          <w:bCs/>
          <w:iCs/>
          <w:color w:val="000000"/>
          <w:lang w:val="hy-AM" w:eastAsia="ru-RU"/>
        </w:rPr>
        <w:t>քաղաքացիական հասարակության ոլորտում պետական, տարածքային կառավարման և տեղական ինքնակառավարման մարմինների աջակցության հետազոտություն,</w:t>
      </w:r>
    </w:p>
    <w:p w:rsidR="00C92AF2" w:rsidRPr="00E20915" w:rsidRDefault="00C92AF2" w:rsidP="00C92AF2">
      <w:pPr>
        <w:numPr>
          <w:ilvl w:val="0"/>
          <w:numId w:val="4"/>
        </w:numPr>
        <w:spacing w:after="120"/>
        <w:rPr>
          <w:bCs/>
          <w:iCs/>
          <w:color w:val="000000"/>
          <w:lang w:val="hy-AM" w:eastAsia="ru-RU"/>
        </w:rPr>
      </w:pPr>
      <w:r w:rsidRPr="00E20915">
        <w:rPr>
          <w:bCs/>
          <w:iCs/>
          <w:color w:val="000000"/>
          <w:lang w:val="hy-AM" w:eastAsia="ru-RU"/>
        </w:rPr>
        <w:t xml:space="preserve">ՔՀԿ ոլորտին աջակցող ենթակառուցվածքների վերլուծություն, ՔՀԿ հանրային ընկալման դինամիկայի վերլուծություն, </w:t>
      </w:r>
    </w:p>
    <w:p w:rsidR="00C92AF2" w:rsidRPr="00E20915" w:rsidRDefault="00C92AF2" w:rsidP="00C92AF2">
      <w:pPr>
        <w:numPr>
          <w:ilvl w:val="0"/>
          <w:numId w:val="4"/>
        </w:numPr>
        <w:spacing w:after="120"/>
        <w:rPr>
          <w:bCs/>
          <w:iCs/>
          <w:color w:val="000000"/>
          <w:lang w:val="hy-AM" w:eastAsia="ru-RU"/>
        </w:rPr>
      </w:pPr>
      <w:r w:rsidRPr="00E20915">
        <w:rPr>
          <w:bCs/>
          <w:iCs/>
          <w:color w:val="000000"/>
          <w:lang w:val="hy-AM" w:eastAsia="ru-RU"/>
        </w:rPr>
        <w:t>տեղական մակարդակում ՔՀԿ-ների մատուցած ծառայությունների արդյունավետության վերլուծություն,</w:t>
      </w:r>
    </w:p>
    <w:p w:rsidR="00C92AF2" w:rsidRPr="00E20915" w:rsidRDefault="00C92AF2" w:rsidP="00C92AF2">
      <w:pPr>
        <w:numPr>
          <w:ilvl w:val="0"/>
          <w:numId w:val="4"/>
        </w:numPr>
        <w:spacing w:after="120"/>
        <w:rPr>
          <w:bCs/>
          <w:iCs/>
          <w:color w:val="000000"/>
          <w:lang w:val="hy-AM" w:eastAsia="ru-RU"/>
        </w:rPr>
      </w:pPr>
      <w:r w:rsidRPr="00E20915">
        <w:rPr>
          <w:bCs/>
          <w:iCs/>
          <w:color w:val="000000"/>
          <w:lang w:val="hy-AM" w:eastAsia="ru-RU"/>
        </w:rPr>
        <w:t>ՔՀԿ-ների իրականացրած շահերի պաշտպանության և մշտադիտարկման արդյունավետության վերլուծություն,</w:t>
      </w:r>
    </w:p>
    <w:p w:rsidR="00C92AF2" w:rsidRPr="00E20915" w:rsidRDefault="00C92AF2" w:rsidP="00C92AF2">
      <w:pPr>
        <w:numPr>
          <w:ilvl w:val="0"/>
          <w:numId w:val="4"/>
        </w:numPr>
        <w:spacing w:after="120"/>
        <w:rPr>
          <w:bCs/>
          <w:iCs/>
          <w:color w:val="000000"/>
          <w:lang w:val="hy-AM" w:eastAsia="ru-RU"/>
        </w:rPr>
      </w:pPr>
      <w:r w:rsidRPr="00E20915">
        <w:rPr>
          <w:bCs/>
          <w:iCs/>
          <w:color w:val="000000"/>
          <w:lang w:val="hy-AM" w:eastAsia="ru-RU"/>
        </w:rPr>
        <w:t>ՔՀԿ-ների ֆինանսական կայունության, ձեռնարկատիրական գործունեություն ծավալելու արդյունավետության և մեխանիզմների վերլուծություն,</w:t>
      </w:r>
    </w:p>
    <w:p w:rsidR="00C92AF2" w:rsidRPr="00E20915" w:rsidRDefault="00C92AF2" w:rsidP="00C92AF2">
      <w:pPr>
        <w:numPr>
          <w:ilvl w:val="0"/>
          <w:numId w:val="4"/>
        </w:numPr>
        <w:spacing w:after="120"/>
        <w:rPr>
          <w:bCs/>
          <w:iCs/>
          <w:color w:val="000000"/>
          <w:lang w:val="hy-AM" w:eastAsia="ru-RU"/>
        </w:rPr>
      </w:pPr>
      <w:r w:rsidRPr="00E20915">
        <w:rPr>
          <w:bCs/>
          <w:iCs/>
          <w:color w:val="000000"/>
          <w:lang w:val="hy-AM" w:eastAsia="ru-RU"/>
        </w:rPr>
        <w:t>համայնքահեն ՔՀԿ-ների կազմակերպական կարողությունների և դրանց հզորացման հնարավորությունների վերլուծություն,</w:t>
      </w:r>
    </w:p>
    <w:p w:rsidR="00C92AF2" w:rsidRPr="00E20915" w:rsidRDefault="00C92AF2" w:rsidP="00C92AF2">
      <w:pPr>
        <w:numPr>
          <w:ilvl w:val="0"/>
          <w:numId w:val="4"/>
        </w:numPr>
        <w:spacing w:after="120"/>
        <w:rPr>
          <w:bCs/>
          <w:iCs/>
          <w:color w:val="000000"/>
          <w:lang w:val="hy-AM" w:eastAsia="ru-RU"/>
        </w:rPr>
      </w:pPr>
      <w:r w:rsidRPr="00E20915">
        <w:rPr>
          <w:bCs/>
          <w:iCs/>
          <w:color w:val="000000"/>
          <w:lang w:val="hy-AM" w:eastAsia="ru-RU"/>
        </w:rPr>
        <w:lastRenderedPageBreak/>
        <w:t>ՔՀԿ-ների իրավական միջավայրի և դրա կատարելագործման ուղիների վերլուծություն։</w:t>
      </w:r>
    </w:p>
    <w:p w:rsidR="00A10308" w:rsidRPr="00C92AF2" w:rsidRDefault="00A10308">
      <w:pPr>
        <w:rPr>
          <w:lang w:val="hy-AM"/>
        </w:rPr>
      </w:pPr>
    </w:p>
    <w:sectPr w:rsidR="00A10308" w:rsidRPr="00C92AF2" w:rsidSect="006615BF">
      <w:pgSz w:w="11907" w:h="16840" w:code="9"/>
      <w:pgMar w:top="720" w:right="720" w:bottom="720" w:left="1440"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Armenian">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70B23"/>
    <w:multiLevelType w:val="hybridMultilevel"/>
    <w:tmpl w:val="CB82C042"/>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2C6A210B"/>
    <w:multiLevelType w:val="multilevel"/>
    <w:tmpl w:val="DBFC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204720"/>
    <w:multiLevelType w:val="multilevel"/>
    <w:tmpl w:val="A216C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C63890"/>
    <w:multiLevelType w:val="multilevel"/>
    <w:tmpl w:val="5084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AF2"/>
    <w:rsid w:val="006830B1"/>
    <w:rsid w:val="00696F42"/>
    <w:rsid w:val="00A10308"/>
    <w:rsid w:val="00C92AF2"/>
    <w:rsid w:val="00EC0831"/>
    <w:rsid w:val="00FD4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0352A-FDC8-4824-9DC7-2438FA435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lfaen" w:eastAsiaTheme="minorHAnsi" w:hAnsi="Sylfae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AF2"/>
    <w:pPr>
      <w:spacing w:after="100" w:line="240" w:lineRule="auto"/>
      <w:ind w:firstLine="720"/>
      <w:jc w:val="both"/>
    </w:pPr>
    <w:rPr>
      <w:rFonts w:eastAsia="Calibri" w:cs="Times New Roman"/>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2023-11-13T10:34:00Z</dcterms:created>
  <dcterms:modified xsi:type="dcterms:W3CDTF">2023-11-13T11:10:00Z</dcterms:modified>
</cp:coreProperties>
</file>